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9F0" w:rsidRDefault="00E639F0" w:rsidP="00136DEF">
      <w:pPr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136DEF">
        <w:rPr>
          <w:rFonts w:cstheme="minorHAnsi"/>
        </w:rPr>
        <w:t>Technické podmínky zakázky: „</w:t>
      </w:r>
      <w:r w:rsidR="00136DEF" w:rsidRPr="00136DEF">
        <w:rPr>
          <w:rFonts w:cstheme="minorHAnsi"/>
          <w:b/>
        </w:rPr>
        <w:t xml:space="preserve">Dodávka a instalace </w:t>
      </w:r>
      <w:r w:rsidR="00136DEF">
        <w:rPr>
          <w:rFonts w:cstheme="minorHAnsi"/>
          <w:b/>
        </w:rPr>
        <w:t xml:space="preserve">samoobslužného </w:t>
      </w:r>
      <w:r w:rsidR="00136DEF" w:rsidRPr="00136DEF">
        <w:rPr>
          <w:rFonts w:cstheme="minorHAnsi"/>
          <w:b/>
        </w:rPr>
        <w:t>výdejního stojanu CNG</w:t>
      </w:r>
      <w:r w:rsidR="00136DEF">
        <w:rPr>
          <w:rFonts w:cstheme="minorHAnsi"/>
        </w:rPr>
        <w:t>“</w:t>
      </w:r>
    </w:p>
    <w:p w:rsidR="00AB1E98" w:rsidRDefault="00AB1E98" w:rsidP="0004345F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Obecné podmínky</w:t>
      </w:r>
    </w:p>
    <w:p w:rsidR="00AB1E98" w:rsidRPr="00AB1E98" w:rsidRDefault="00A913AE" w:rsidP="00AB1E9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výdejní </w:t>
      </w:r>
      <w:r w:rsidR="00AB1E98">
        <w:rPr>
          <w:rFonts w:cstheme="minorHAnsi"/>
        </w:rPr>
        <w:t xml:space="preserve">stojan </w:t>
      </w:r>
      <w:r w:rsidR="00AB1E98" w:rsidRPr="00AB1E98">
        <w:rPr>
          <w:rFonts w:cstheme="minorHAnsi"/>
        </w:rPr>
        <w:t>musí splňovat požadavky zákona o metrologii</w:t>
      </w:r>
      <w:r w:rsidR="00AB1E98">
        <w:rPr>
          <w:rFonts w:cstheme="minorHAnsi"/>
        </w:rPr>
        <w:t>, s</w:t>
      </w:r>
      <w:r w:rsidR="00AB1E98" w:rsidRPr="00AB1E98">
        <w:rPr>
          <w:rFonts w:cstheme="minorHAnsi"/>
        </w:rPr>
        <w:t xml:space="preserve">oučástí dodávky musí být </w:t>
      </w:r>
      <w:r w:rsidR="00AB1E98">
        <w:rPr>
          <w:rFonts w:cstheme="minorHAnsi"/>
        </w:rPr>
        <w:t xml:space="preserve">jeho </w:t>
      </w:r>
      <w:r w:rsidR="00AB1E98" w:rsidRPr="00AB1E98">
        <w:rPr>
          <w:rFonts w:cstheme="minorHAnsi"/>
        </w:rPr>
        <w:t>kalibrace s předáním kalibračního protokolu a vylepením kalibračního štítku na výdejní stojan</w:t>
      </w:r>
      <w:r w:rsidR="00AB1E98">
        <w:rPr>
          <w:rFonts w:cstheme="minorHAnsi"/>
        </w:rPr>
        <w:t>,</w:t>
      </w:r>
    </w:p>
    <w:p w:rsidR="00AB1E98" w:rsidRDefault="00A913AE" w:rsidP="00AB1E9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výdejní sto</w:t>
      </w:r>
      <w:r w:rsidR="00AB1E98" w:rsidRPr="00AB1E98">
        <w:rPr>
          <w:rFonts w:cstheme="minorHAnsi"/>
        </w:rPr>
        <w:t>jan CNG je vyhrazené elektrické, plynové a tlakové zařízení</w:t>
      </w:r>
      <w:r w:rsidR="00AB1E98">
        <w:rPr>
          <w:rFonts w:cstheme="minorHAnsi"/>
        </w:rPr>
        <w:t>, m</w:t>
      </w:r>
      <w:r w:rsidR="00AB1E98" w:rsidRPr="00AB1E98">
        <w:rPr>
          <w:rFonts w:cstheme="minorHAnsi"/>
        </w:rPr>
        <w:t>ontáž podléhá dozoru Technické inspekc</w:t>
      </w:r>
      <w:r w:rsidR="00AB1E98">
        <w:rPr>
          <w:rFonts w:cstheme="minorHAnsi"/>
        </w:rPr>
        <w:t>e,</w:t>
      </w:r>
    </w:p>
    <w:p w:rsidR="00AB1E98" w:rsidRDefault="00AB1E98" w:rsidP="00AB1E98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 w:rsidRPr="00AB1E98">
        <w:rPr>
          <w:rFonts w:cstheme="minorHAnsi"/>
        </w:rPr>
        <w:t>součástí dodávky musí být tlaková zkouška s vyhotovením výchozí revize plynového zařízení</w:t>
      </w:r>
      <w:r>
        <w:rPr>
          <w:rFonts w:cstheme="minorHAnsi"/>
        </w:rPr>
        <w:t xml:space="preserve"> a</w:t>
      </w:r>
      <w:r w:rsidR="00A913AE">
        <w:rPr>
          <w:rFonts w:cstheme="minorHAnsi"/>
        </w:rPr>
        <w:t> </w:t>
      </w:r>
      <w:r w:rsidRPr="00AB1E98">
        <w:rPr>
          <w:rFonts w:cstheme="minorHAnsi"/>
        </w:rPr>
        <w:t>výchozí reviz</w:t>
      </w:r>
      <w:r>
        <w:rPr>
          <w:rFonts w:cstheme="minorHAnsi"/>
        </w:rPr>
        <w:t>e</w:t>
      </w:r>
      <w:r w:rsidRPr="00AB1E98">
        <w:rPr>
          <w:rFonts w:cstheme="minorHAnsi"/>
        </w:rPr>
        <w:t xml:space="preserve"> elektrického zařízení</w:t>
      </w:r>
      <w:r>
        <w:rPr>
          <w:rFonts w:cstheme="minorHAnsi"/>
        </w:rPr>
        <w:t xml:space="preserve"> (</w:t>
      </w:r>
      <w:r w:rsidRPr="00AB1E98">
        <w:rPr>
          <w:rFonts w:cstheme="minorHAnsi"/>
        </w:rPr>
        <w:t>elektrické</w:t>
      </w:r>
      <w:r w:rsidR="00A913AE">
        <w:rPr>
          <w:rFonts w:cstheme="minorHAnsi"/>
        </w:rPr>
        <w:t xml:space="preserve"> </w:t>
      </w:r>
      <w:r w:rsidRPr="00AB1E98">
        <w:rPr>
          <w:rFonts w:cstheme="minorHAnsi"/>
        </w:rPr>
        <w:t xml:space="preserve">připojení výdejního stojanu </w:t>
      </w:r>
      <w:r>
        <w:rPr>
          <w:rFonts w:cstheme="minorHAnsi"/>
        </w:rPr>
        <w:t xml:space="preserve">musí </w:t>
      </w:r>
      <w:r w:rsidRPr="00AB1E98">
        <w:rPr>
          <w:rFonts w:cstheme="minorHAnsi"/>
        </w:rPr>
        <w:t>odpovíd</w:t>
      </w:r>
      <w:r>
        <w:rPr>
          <w:rFonts w:cstheme="minorHAnsi"/>
        </w:rPr>
        <w:t>at</w:t>
      </w:r>
      <w:r w:rsidRPr="00AB1E98">
        <w:rPr>
          <w:rFonts w:cstheme="minorHAnsi"/>
        </w:rPr>
        <w:t xml:space="preserve"> předpisů</w:t>
      </w:r>
      <w:r>
        <w:rPr>
          <w:rFonts w:cstheme="minorHAnsi"/>
        </w:rPr>
        <w:t>m</w:t>
      </w:r>
      <w:r w:rsidRPr="00AB1E98">
        <w:rPr>
          <w:rFonts w:cstheme="minorHAnsi"/>
        </w:rPr>
        <w:t xml:space="preserve"> pro el. instalaci v prostředí s nebezpečím výbuchu</w:t>
      </w:r>
      <w:r>
        <w:rPr>
          <w:rFonts w:cstheme="minorHAnsi"/>
        </w:rPr>
        <w:t>),</w:t>
      </w:r>
    </w:p>
    <w:p w:rsidR="00606515" w:rsidRDefault="00A913AE" w:rsidP="00A913A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 w:rsidRPr="00A913AE">
        <w:rPr>
          <w:rFonts w:cstheme="minorHAnsi"/>
        </w:rPr>
        <w:t xml:space="preserve">výdejní stojan včetně elektroniky </w:t>
      </w:r>
      <w:r>
        <w:rPr>
          <w:rFonts w:cstheme="minorHAnsi"/>
        </w:rPr>
        <w:t xml:space="preserve">musí </w:t>
      </w:r>
      <w:r w:rsidRPr="00A913AE">
        <w:rPr>
          <w:rFonts w:cstheme="minorHAnsi"/>
        </w:rPr>
        <w:t>pracova</w:t>
      </w:r>
      <w:r>
        <w:rPr>
          <w:rFonts w:cstheme="minorHAnsi"/>
        </w:rPr>
        <w:t>t</w:t>
      </w:r>
      <w:r w:rsidRPr="00A913AE">
        <w:rPr>
          <w:rFonts w:cstheme="minorHAnsi"/>
        </w:rPr>
        <w:t xml:space="preserve"> bez poruchy v rozmezí teplot </w:t>
      </w:r>
      <w:r>
        <w:rPr>
          <w:rFonts w:cstheme="minorHAnsi"/>
        </w:rPr>
        <w:t>odpovídajících místnímu klimatu (-3</w:t>
      </w:r>
      <w:r w:rsidRPr="00A913AE">
        <w:rPr>
          <w:rFonts w:cstheme="minorHAnsi"/>
        </w:rPr>
        <w:t>0/+55 °C</w:t>
      </w:r>
      <w:r>
        <w:rPr>
          <w:rFonts w:cstheme="minorHAnsi"/>
        </w:rPr>
        <w:t>),</w:t>
      </w:r>
    </w:p>
    <w:p w:rsidR="00A913AE" w:rsidRDefault="00A913AE" w:rsidP="00A913A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umístění stávajícího stojanu je na obr.</w:t>
      </w:r>
      <w:r w:rsidR="00961540">
        <w:rPr>
          <w:rFonts w:cstheme="minorHAnsi"/>
        </w:rPr>
        <w:t xml:space="preserve"> 1</w:t>
      </w:r>
      <w:r>
        <w:rPr>
          <w:rFonts w:cstheme="minorHAnsi"/>
        </w:rPr>
        <w:t>,</w:t>
      </w:r>
    </w:p>
    <w:p w:rsidR="00A913AE" w:rsidRDefault="00A913AE" w:rsidP="00A913A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rozměry paty stávajícího stojanu</w:t>
      </w:r>
      <w:r w:rsidR="00961540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961540">
        <w:rPr>
          <w:rFonts w:cstheme="minorHAnsi"/>
        </w:rPr>
        <w:t>40 x 69 cm,</w:t>
      </w:r>
    </w:p>
    <w:p w:rsidR="00961540" w:rsidRDefault="00961540" w:rsidP="00A913AE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rozměry prostoru pro umístění stojanu: 125 cm (šířka ostrůvku mezi obrubníky) x 140 cm (vzdálenost mezi patou sloupu a krycí mřížkou).</w:t>
      </w:r>
    </w:p>
    <w:p w:rsidR="005728DF" w:rsidRDefault="005728DF" w:rsidP="005728DF">
      <w:pPr>
        <w:pStyle w:val="Odstavecseseznamem"/>
        <w:tabs>
          <w:tab w:val="left" w:pos="426"/>
        </w:tabs>
        <w:spacing w:after="0" w:line="276" w:lineRule="auto"/>
        <w:ind w:left="425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0C5656" wp14:editId="0C59160F">
                <wp:simplePos x="0" y="0"/>
                <wp:positionH relativeFrom="column">
                  <wp:posOffset>1662430</wp:posOffset>
                </wp:positionH>
                <wp:positionV relativeFrom="paragraph">
                  <wp:posOffset>3032125</wp:posOffset>
                </wp:positionV>
                <wp:extent cx="25196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1540" w:rsidRPr="00961540" w:rsidRDefault="00961540" w:rsidP="00961540">
                            <w:pPr>
                              <w:pStyle w:val="Titulek"/>
                              <w:jc w:val="center"/>
                              <w:rPr>
                                <w:rFonts w:cstheme="minorHAnsi"/>
                                <w:i w:val="0"/>
                                <w:noProof/>
                                <w:color w:val="auto"/>
                              </w:rPr>
                            </w:pPr>
                            <w:r w:rsidRPr="00961540">
                              <w:rPr>
                                <w:i w:val="0"/>
                                <w:color w:val="auto"/>
                              </w:rPr>
                              <w:t xml:space="preserve">Obr. </w:t>
                            </w:r>
                            <w:r w:rsidRPr="00961540">
                              <w:rPr>
                                <w:i w:val="0"/>
                                <w:color w:val="auto"/>
                              </w:rPr>
                              <w:fldChar w:fldCharType="begin"/>
                            </w:r>
                            <w:r w:rsidRPr="00961540">
                              <w:rPr>
                                <w:i w:val="0"/>
                                <w:color w:val="auto"/>
                              </w:rPr>
                              <w:instrText xml:space="preserve"> SEQ Obrázek \* ARABIC </w:instrText>
                            </w:r>
                            <w:r w:rsidRPr="00961540">
                              <w:rPr>
                                <w:i w:val="0"/>
                                <w:color w:val="auto"/>
                              </w:rPr>
                              <w:fldChar w:fldCharType="separate"/>
                            </w:r>
                            <w:r w:rsidRPr="00961540">
                              <w:rPr>
                                <w:i w:val="0"/>
                                <w:noProof/>
                                <w:color w:val="auto"/>
                              </w:rPr>
                              <w:t>1</w:t>
                            </w:r>
                            <w:r w:rsidRPr="00961540">
                              <w:rPr>
                                <w:i w:val="0"/>
                                <w:color w:val="auto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C56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0.9pt;margin-top:238.75pt;width:198.4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" stroked="f">
                <v:textbox style="mso-fit-shape-to-text:t" inset="0,0,0,0">
                  <w:txbxContent>
                    <w:p w:rsidR="00961540" w:rsidRPr="00961540" w:rsidRDefault="00961540" w:rsidP="00961540">
                      <w:pPr>
                        <w:pStyle w:val="Titulek"/>
                        <w:jc w:val="center"/>
                        <w:rPr>
                          <w:rFonts w:cstheme="minorHAnsi"/>
                          <w:i w:val="0"/>
                          <w:noProof/>
                          <w:color w:val="auto"/>
                        </w:rPr>
                      </w:pPr>
                      <w:r w:rsidRPr="00961540">
                        <w:rPr>
                          <w:i w:val="0"/>
                          <w:color w:val="auto"/>
                        </w:rPr>
                        <w:t xml:space="preserve">Obr. </w:t>
                      </w:r>
                      <w:r w:rsidRPr="00961540">
                        <w:rPr>
                          <w:i w:val="0"/>
                          <w:color w:val="auto"/>
                        </w:rPr>
                        <w:fldChar w:fldCharType="begin"/>
                      </w:r>
                      <w:r w:rsidRPr="00961540">
                        <w:rPr>
                          <w:i w:val="0"/>
                          <w:color w:val="auto"/>
                        </w:rPr>
                        <w:instrText xml:space="preserve"> SEQ Obrázek \* ARABIC </w:instrText>
                      </w:r>
                      <w:r w:rsidRPr="00961540">
                        <w:rPr>
                          <w:i w:val="0"/>
                          <w:color w:val="auto"/>
                        </w:rPr>
                        <w:fldChar w:fldCharType="separate"/>
                      </w:r>
                      <w:r w:rsidRPr="00961540">
                        <w:rPr>
                          <w:i w:val="0"/>
                          <w:noProof/>
                          <w:color w:val="auto"/>
                        </w:rPr>
                        <w:t>1</w:t>
                      </w:r>
                      <w:r w:rsidRPr="00961540">
                        <w:rPr>
                          <w:i w:val="0"/>
                          <w:color w:val="auto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E343665" wp14:editId="1417B848">
            <wp:simplePos x="0" y="0"/>
            <wp:positionH relativeFrom="column">
              <wp:posOffset>1243330</wp:posOffset>
            </wp:positionH>
            <wp:positionV relativeFrom="paragraph">
              <wp:posOffset>35560</wp:posOffset>
            </wp:positionV>
            <wp:extent cx="3358515" cy="2519680"/>
            <wp:effectExtent l="318" t="0" r="0" b="0"/>
            <wp:wrapTight wrapText="bothSides">
              <wp:wrapPolygon edited="0">
                <wp:start x="2" y="21603"/>
                <wp:lineTo x="21443" y="21603"/>
                <wp:lineTo x="21443" y="210"/>
                <wp:lineTo x="2" y="210"/>
                <wp:lineTo x="2" y="2160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jan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851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961540" w:rsidRPr="00961540" w:rsidRDefault="00961540" w:rsidP="00961540">
      <w:pPr>
        <w:tabs>
          <w:tab w:val="left" w:pos="426"/>
        </w:tabs>
        <w:spacing w:after="0" w:line="276" w:lineRule="auto"/>
        <w:jc w:val="both"/>
        <w:rPr>
          <w:rFonts w:cstheme="minorHAnsi"/>
        </w:rPr>
      </w:pPr>
    </w:p>
    <w:p w:rsidR="0004345F" w:rsidRPr="0004345F" w:rsidRDefault="0004345F" w:rsidP="0004345F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cstheme="minorHAnsi"/>
          <w:b/>
        </w:rPr>
      </w:pPr>
      <w:r w:rsidRPr="0004345F">
        <w:rPr>
          <w:rFonts w:cstheme="minorHAnsi"/>
          <w:b/>
        </w:rPr>
        <w:t>Technické parametry výdejního stojanu</w:t>
      </w:r>
    </w:p>
    <w:p w:rsidR="00136DEF" w:rsidRDefault="002F46F3" w:rsidP="0004345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stojan pro oboustranný současný výdej ze dvou plnících pistolí,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2x plnící koncovka </w:t>
      </w:r>
      <w:r w:rsidR="00D5630F">
        <w:rPr>
          <w:rFonts w:cstheme="minorHAnsi"/>
        </w:rPr>
        <w:t>N</w:t>
      </w:r>
      <w:r>
        <w:rPr>
          <w:rFonts w:cstheme="minorHAnsi"/>
        </w:rPr>
        <w:t>GV1,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současný plnící výkon (min/</w:t>
      </w:r>
      <w:proofErr w:type="spellStart"/>
      <w:r>
        <w:rPr>
          <w:rFonts w:cstheme="minorHAnsi"/>
        </w:rPr>
        <w:t>max</w:t>
      </w:r>
      <w:proofErr w:type="spellEnd"/>
      <w:r>
        <w:rPr>
          <w:rFonts w:cstheme="minorHAnsi"/>
        </w:rPr>
        <w:t>) 0,3/40 kg/min.,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2x hmotnostní průtokoměr pro současné plnění,</w:t>
      </w:r>
    </w:p>
    <w:p w:rsidR="004D60A7" w:rsidRDefault="004D60A7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jednotka měření kg,</w:t>
      </w:r>
    </w:p>
    <w:p w:rsidR="004D60A7" w:rsidRDefault="004D60A7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přesnost měření lepší než 0,5%,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tlaková sekce se 3 vstupy,</w:t>
      </w:r>
    </w:p>
    <w:p w:rsidR="002F46F3" w:rsidRDefault="00CB2869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max. pracovní tlak 24</w:t>
      </w:r>
      <w:r w:rsidR="002F46F3">
        <w:rPr>
          <w:rFonts w:cstheme="minorHAnsi"/>
        </w:rPr>
        <w:t>0 bar,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lastRenderedPageBreak/>
        <w:t>připojení ventilačního potrubí ve stojanu,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volné zavěšení výdejních </w:t>
      </w:r>
      <w:r w:rsidR="00D5630F">
        <w:rPr>
          <w:rFonts w:cstheme="minorHAnsi"/>
        </w:rPr>
        <w:t xml:space="preserve">(plnící a ventilační) </w:t>
      </w:r>
      <w:r>
        <w:rPr>
          <w:rFonts w:cstheme="minorHAnsi"/>
        </w:rPr>
        <w:t>hadic délky (min.) 3 m,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trhací spojky se signalizací utržení,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teplotní kompenzace,</w:t>
      </w:r>
      <w:r w:rsidR="006220B9">
        <w:rPr>
          <w:rFonts w:cstheme="minorHAnsi"/>
        </w:rPr>
        <w:t xml:space="preserve"> </w:t>
      </w:r>
      <w:r w:rsidR="006220B9" w:rsidRPr="006220B9">
        <w:rPr>
          <w:rFonts w:cstheme="minorHAnsi"/>
        </w:rPr>
        <w:t>referenční teplot</w:t>
      </w:r>
      <w:r w:rsidR="006220B9">
        <w:rPr>
          <w:rFonts w:cstheme="minorHAnsi"/>
        </w:rPr>
        <w:t>a</w:t>
      </w:r>
      <w:r w:rsidR="006220B9" w:rsidRPr="006220B9">
        <w:rPr>
          <w:rFonts w:cstheme="minorHAnsi"/>
        </w:rPr>
        <w:t xml:space="preserve"> 15° C</w:t>
      </w:r>
      <w:r w:rsidR="006220B9">
        <w:rPr>
          <w:rFonts w:cstheme="minorHAnsi"/>
        </w:rPr>
        <w:t xml:space="preserve">, 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signální maják červená/zelená,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tlačítko „Centrál Stop“,</w:t>
      </w:r>
    </w:p>
    <w:p w:rsidR="002F46F3" w:rsidRDefault="002F46F3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vstupní filtry </w:t>
      </w:r>
      <w:r w:rsidR="008A7C42">
        <w:rPr>
          <w:rFonts w:cstheme="minorHAnsi"/>
        </w:rPr>
        <w:t xml:space="preserve">(pro každou sekci samostatně) </w:t>
      </w:r>
      <w:r>
        <w:rPr>
          <w:rFonts w:cstheme="minorHAnsi"/>
        </w:rPr>
        <w:t>pevných částí</w:t>
      </w:r>
      <w:r w:rsidR="00542585">
        <w:rPr>
          <w:rFonts w:cstheme="minorHAnsi"/>
        </w:rPr>
        <w:t xml:space="preserve"> </w:t>
      </w:r>
      <w:r w:rsidR="00542585">
        <w:rPr>
          <w:rFonts w:eastAsia="Times New Roman"/>
        </w:rPr>
        <w:t xml:space="preserve">filtr s filtrační schopností min. 25 mikronů, </w:t>
      </w:r>
    </w:p>
    <w:p w:rsidR="0004345F" w:rsidRDefault="00D5630F" w:rsidP="002F46F3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komunikace s nadřízeným terminálem </w:t>
      </w:r>
      <w:r w:rsidR="006220B9">
        <w:rPr>
          <w:rFonts w:cstheme="minorHAnsi"/>
        </w:rPr>
        <w:t>(</w:t>
      </w:r>
      <w:r w:rsidR="006220B9" w:rsidRPr="006220B9">
        <w:rPr>
          <w:rFonts w:cstheme="minorHAnsi"/>
          <w:bCs/>
        </w:rPr>
        <w:t>UNICARD76</w:t>
      </w:r>
      <w:r w:rsidR="006220B9">
        <w:rPr>
          <w:rFonts w:cstheme="minorHAnsi"/>
          <w:bCs/>
        </w:rPr>
        <w:t xml:space="preserve">, </w:t>
      </w:r>
      <w:r w:rsidR="006220B9" w:rsidRPr="006220B9">
        <w:rPr>
          <w:rFonts w:cstheme="minorHAnsi"/>
          <w:bCs/>
        </w:rPr>
        <w:t xml:space="preserve">řídicí SW </w:t>
      </w:r>
      <w:proofErr w:type="spellStart"/>
      <w:r w:rsidR="006220B9" w:rsidRPr="006220B9">
        <w:rPr>
          <w:rFonts w:cstheme="minorHAnsi"/>
          <w:bCs/>
        </w:rPr>
        <w:t>UniPOS</w:t>
      </w:r>
      <w:proofErr w:type="spellEnd"/>
      <w:r w:rsidR="006220B9" w:rsidRPr="006220B9">
        <w:rPr>
          <w:rFonts w:cstheme="minorHAnsi"/>
          <w:bCs/>
        </w:rPr>
        <w:t>® PROFI</w:t>
      </w:r>
      <w:r w:rsidR="006220B9">
        <w:rPr>
          <w:rFonts w:cstheme="minorHAnsi"/>
          <w:bCs/>
        </w:rPr>
        <w:t>)</w:t>
      </w:r>
      <w:r w:rsidR="006220B9" w:rsidRPr="006220B9">
        <w:rPr>
          <w:rFonts w:cstheme="minorHAnsi"/>
          <w:b/>
          <w:bCs/>
        </w:rPr>
        <w:t xml:space="preserve"> </w:t>
      </w:r>
      <w:r>
        <w:rPr>
          <w:rFonts w:cstheme="minorHAnsi"/>
        </w:rPr>
        <w:t>prostřednictvím protokolu PDEX/</w:t>
      </w:r>
      <w:proofErr w:type="spellStart"/>
      <w:r>
        <w:rPr>
          <w:rFonts w:cstheme="minorHAnsi"/>
        </w:rPr>
        <w:t>EasyCall</w:t>
      </w:r>
      <w:proofErr w:type="spellEnd"/>
      <w:r w:rsidR="006220B9">
        <w:rPr>
          <w:rFonts w:cstheme="minorHAnsi"/>
        </w:rPr>
        <w:t xml:space="preserve"> po sběrnici RS485</w:t>
      </w:r>
      <w:r>
        <w:rPr>
          <w:rFonts w:cstheme="minorHAnsi"/>
        </w:rPr>
        <w:t>,</w:t>
      </w:r>
    </w:p>
    <w:p w:rsidR="00D5630F" w:rsidRPr="002F46F3" w:rsidRDefault="00D5630F" w:rsidP="004D60A7">
      <w:pPr>
        <w:pStyle w:val="Odstavecseseznamem"/>
        <w:numPr>
          <w:ilvl w:val="0"/>
          <w:numId w:val="2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barevné provedení RAL</w:t>
      </w:r>
      <w:r w:rsidR="004D60A7">
        <w:rPr>
          <w:rFonts w:cstheme="minorHAnsi"/>
        </w:rPr>
        <w:t xml:space="preserve"> (struktura) 7016 a RAL 3000</w:t>
      </w:r>
    </w:p>
    <w:p w:rsidR="00136DEF" w:rsidRPr="00D5630F" w:rsidRDefault="00D5630F" w:rsidP="00D5630F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6" w:lineRule="auto"/>
        <w:ind w:left="425" w:hanging="425"/>
        <w:contextualSpacing w:val="0"/>
        <w:jc w:val="both"/>
        <w:rPr>
          <w:rFonts w:cstheme="minorHAnsi"/>
          <w:b/>
        </w:rPr>
      </w:pPr>
      <w:r w:rsidRPr="00D5630F">
        <w:rPr>
          <w:rFonts w:cstheme="minorHAnsi"/>
          <w:b/>
        </w:rPr>
        <w:t>Související činnosti v rámci dodávky</w:t>
      </w:r>
    </w:p>
    <w:p w:rsidR="00D5630F" w:rsidRDefault="004D60A7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d</w:t>
      </w:r>
      <w:r w:rsidR="00D5630F">
        <w:rPr>
          <w:rFonts w:cstheme="minorHAnsi"/>
        </w:rPr>
        <w:t>emontáž stávajícího stojanu</w:t>
      </w:r>
      <w:r>
        <w:rPr>
          <w:rFonts w:cstheme="minorHAnsi"/>
        </w:rPr>
        <w:t>,</w:t>
      </w:r>
    </w:p>
    <w:p w:rsidR="004D60A7" w:rsidRDefault="004D60A7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instalace (napojení do plynového rozvodu a elektrického a elektronického ovládání a řízení) a</w:t>
      </w:r>
      <w:r w:rsidR="00A913AE">
        <w:rPr>
          <w:rFonts w:cstheme="minorHAnsi"/>
        </w:rPr>
        <w:t> </w:t>
      </w:r>
      <w:r>
        <w:rPr>
          <w:rFonts w:cstheme="minorHAnsi"/>
        </w:rPr>
        <w:t>zprovoznění včetně individuální zkoušky,</w:t>
      </w:r>
    </w:p>
    <w:p w:rsidR="004D60A7" w:rsidRDefault="004D60A7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 xml:space="preserve">dodávka </w:t>
      </w:r>
      <w:r w:rsidR="00A913AE">
        <w:rPr>
          <w:rFonts w:cstheme="minorHAnsi"/>
        </w:rPr>
        <w:t xml:space="preserve">prohlášení o shodě, </w:t>
      </w:r>
      <w:r>
        <w:rPr>
          <w:rFonts w:cstheme="minorHAnsi"/>
        </w:rPr>
        <w:t>certifikátů</w:t>
      </w:r>
      <w:r w:rsidR="00A913AE">
        <w:rPr>
          <w:rFonts w:cstheme="minorHAnsi"/>
        </w:rPr>
        <w:t xml:space="preserve"> a </w:t>
      </w:r>
      <w:r w:rsidR="00A913AE" w:rsidRPr="00A913AE">
        <w:rPr>
          <w:rFonts w:cstheme="minorHAnsi"/>
        </w:rPr>
        <w:t>návod k obsluze a údržbě v českém jazyce.</w:t>
      </w:r>
      <w:r>
        <w:rPr>
          <w:rFonts w:cstheme="minorHAnsi"/>
        </w:rPr>
        <w:t>,</w:t>
      </w:r>
    </w:p>
    <w:p w:rsidR="004D60A7" w:rsidRDefault="004D60A7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dodávka nezbytných informačních, výstražných nebo návodných polepů,</w:t>
      </w:r>
    </w:p>
    <w:p w:rsidR="004D60A7" w:rsidRDefault="004D60A7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vy</w:t>
      </w:r>
      <w:r w:rsidR="00CB2869">
        <w:rPr>
          <w:rFonts w:cstheme="minorHAnsi"/>
        </w:rPr>
        <w:t>školení 3 pracovníků zadavatele,</w:t>
      </w:r>
    </w:p>
    <w:p w:rsidR="00CB2869" w:rsidRPr="00D5630F" w:rsidRDefault="00CB2869" w:rsidP="00D5630F">
      <w:pPr>
        <w:pStyle w:val="Odstavecseseznamem"/>
        <w:numPr>
          <w:ilvl w:val="0"/>
          <w:numId w:val="2"/>
        </w:numPr>
        <w:tabs>
          <w:tab w:val="left" w:pos="426"/>
        </w:tabs>
        <w:spacing w:after="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protokol o určení prostředí dodá zadavatel.</w:t>
      </w:r>
    </w:p>
    <w:sectPr w:rsidR="00CB2869" w:rsidRPr="00D5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188"/>
    <w:multiLevelType w:val="hybridMultilevel"/>
    <w:tmpl w:val="2CBEC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B363B"/>
    <w:multiLevelType w:val="hybridMultilevel"/>
    <w:tmpl w:val="8A86A376"/>
    <w:lvl w:ilvl="0" w:tplc="6F126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6CA4"/>
    <w:multiLevelType w:val="hybridMultilevel"/>
    <w:tmpl w:val="91E23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F0"/>
    <w:rsid w:val="0004345F"/>
    <w:rsid w:val="0012508D"/>
    <w:rsid w:val="00136DEF"/>
    <w:rsid w:val="002F46F3"/>
    <w:rsid w:val="003B322C"/>
    <w:rsid w:val="004D60A7"/>
    <w:rsid w:val="00542585"/>
    <w:rsid w:val="005728DF"/>
    <w:rsid w:val="00606515"/>
    <w:rsid w:val="006220B9"/>
    <w:rsid w:val="008A7C42"/>
    <w:rsid w:val="00961540"/>
    <w:rsid w:val="00A913AE"/>
    <w:rsid w:val="00AB1E98"/>
    <w:rsid w:val="00CB2869"/>
    <w:rsid w:val="00D41F79"/>
    <w:rsid w:val="00D5630F"/>
    <w:rsid w:val="00E639F0"/>
    <w:rsid w:val="00E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90F8-706F-4187-8107-7521699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6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46F3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96154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Ivan</dc:creator>
  <cp:keywords/>
  <dc:description/>
  <cp:lastModifiedBy>Pavlína Kuklová</cp:lastModifiedBy>
  <cp:revision>2</cp:revision>
  <dcterms:created xsi:type="dcterms:W3CDTF">2021-07-26T08:02:00Z</dcterms:created>
  <dcterms:modified xsi:type="dcterms:W3CDTF">2021-07-26T08:02:00Z</dcterms:modified>
</cp:coreProperties>
</file>